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caps/>
          <w:color w:val="000000"/>
          <w:szCs w:val="28"/>
        </w:rPr>
        <w:t xml:space="preserve">анкета РЕЗИДЕНТА </w:t>
      </w:r>
      <w:r>
        <w:rPr>
          <w:rFonts w:cs="Calibri" w:ascii="Calibri" w:hAnsi="Calibri" w:asciiTheme="minorHAnsi" w:cstheme="minorHAnsi" w:hAnsiTheme="minorHAnsi"/>
          <w:b/>
          <w:caps/>
          <w:color w:val="000000"/>
          <w:szCs w:val="28"/>
        </w:rPr>
        <w:t>ООО</w:t>
      </w:r>
      <w:r>
        <w:rPr>
          <w:rFonts w:cs="Calibri" w:ascii="Calibri" w:hAnsi="Calibri" w:asciiTheme="minorHAnsi" w:cstheme="minorHAnsi" w:hAnsiTheme="minorHAnsi"/>
          <w:b/>
          <w:caps/>
          <w:color w:val="000000"/>
          <w:szCs w:val="28"/>
        </w:rPr>
        <w:t xml:space="preserve"> «</w:t>
      </w:r>
      <w:r>
        <w:rPr>
          <w:rFonts w:cs="Calibri" w:ascii="Calibri" w:hAnsi="Calibri" w:asciiTheme="minorHAnsi" w:cstheme="minorHAnsi" w:hAnsiTheme="minorHAnsi"/>
          <w:b/>
          <w:caps/>
          <w:color w:val="000000"/>
          <w:szCs w:val="28"/>
        </w:rPr>
        <w:t>С</w:t>
      </w:r>
      <w:r>
        <w:rPr>
          <w:rFonts w:cs="Calibri" w:ascii="Calibri" w:hAnsi="Calibri" w:asciiTheme="minorHAnsi" w:cstheme="minorHAnsi" w:hAnsiTheme="minorHAnsi"/>
          <w:b/>
          <w:caps/>
          <w:color w:val="000000"/>
          <w:szCs w:val="28"/>
        </w:rPr>
        <w:t>КИП «МАСТЕР»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aps/>
          <w:color w:val="000000"/>
          <w:szCs w:val="28"/>
        </w:rPr>
      </w:pPr>
      <w:r>
        <w:rPr>
          <w:rFonts w:cs="Calibri" w:cstheme="minorHAnsi" w:ascii="Calibri" w:hAnsi="Calibri"/>
          <w:b/>
          <w:caps/>
          <w:color w:val="000000"/>
          <w:szCs w:val="28"/>
        </w:rPr>
      </w:r>
    </w:p>
    <w:p>
      <w:pPr>
        <w:pStyle w:val="Normal"/>
        <w:jc w:val="both"/>
        <w:rPr/>
      </w:pPr>
      <w:r>
        <w:rPr>
          <w:rFonts w:eastAsia="SimSun" w:cs="Calibri" w:ascii="Calibri" w:hAnsi="Calibri" w:asciiTheme="minorHAnsi" w:cstheme="minorHAnsi" w:hAnsiTheme="minorHAnsi"/>
          <w:b/>
          <w:color w:val="000000"/>
          <w:sz w:val="18"/>
          <w:szCs w:val="18"/>
        </w:rPr>
        <w:t>В целях обеспечения основополагающих принципов и требований противодействия коррупции ООО «СКИП «Мастер»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резидента (далее – «Анкета»). Мы благодарны за оказанное содействие.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</w:r>
      <w:bookmarkStart w:id="0" w:name="__DdeLink__25093_1339151212"/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ООО «СКИП «Мастер»</w:t>
      </w:r>
      <w:bookmarkEnd w:id="0"/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tbl>
      <w:tblPr>
        <w:tblW w:w="4950" w:type="pct"/>
        <w:jc w:val="left"/>
        <w:tblInd w:w="-34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"/>
        <w:gridCol w:w="685"/>
        <w:gridCol w:w="7348"/>
        <w:gridCol w:w="6919"/>
      </w:tblGrid>
      <w:tr>
        <w:trPr>
          <w:trHeight w:val="424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Полное наименование лица 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24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Сокращенное наименование лица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24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24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Вид деятельности планируемой к осуществлению с использованием имущества предоставляемого в аренду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  <w:t>ООО «СКИП «Мастер»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16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32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32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Почтовый адрес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09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Телефон, факс, электронная почта приемной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15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Адрес официального сайта Компании в Интернет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15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Дата основания организации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353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Наименование банка(-ов) и банковские реквизиты, которые будут использоваться по договору с ООО «СКИП «Мастер»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17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ФИО и должность контактного лица, ответственного за работу с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ОО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О «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С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КИП «Мастер»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07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Телефон, электронная почта контактного лица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23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ИНН, дата государственной регистрации/ КПП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23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23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31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31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ФИО, дата рождения, должность руководителя, основание подписи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31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Сот. телефон, электронная почта руководителя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541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Наименование и адрес управляющей компании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541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83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ФИО, ИНН, контактный телефон главного бухгалтера компании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Являются ли бенефициары (конечные собственники) владеющие 20% и более компании и руководители компании (включая членов совета директоров или другого аналогичного управляющего органа) лицом, связанным с государством, как определено ниже:</w:t>
            </w:r>
          </w:p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1.1.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 xml:space="preserve"> «Лицо, связанное с государством»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 - а) государство; (б) публичное должностное лицо; (в) публичный орган ; (г) лицо, которое непосредственно является близким родственником публичного должностного лица,  либо лица, указанного в разделах (д) и (е) настоящего абзаца; (д) сотрудник, руководитель, конечный бенефициар (владеющий 20% и более) коммерческой организации, которая прямо или косвенно контролируется государством или Публичным органом, или (е) сотрудник, руководитель некоммерческой организации, которая создана и/или членом которой является государство, и/или Публичный орган и/или Публичное должностное лицо; (ж) коммерческая организация, конечным бенефициаром либо руководителем (включая членов Совета директоров либо другого аналогичного управляющего органа) которой является лицо, указанное в пунктах (а), (б), (в), (г), (д) и (е), владеющее 20% и более.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1.2.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 xml:space="preserve"> «Контроль»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 означает, в отношении юридического лица, право какого-либо лица обеспечивать, чтобы стратегические финансовые и операционные решения принимались в соответствии с указаниями такого контролирующего лица: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  <w:p>
            <w:pPr>
              <w:pStyle w:val="Style24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18"/>
                <w:szCs w:val="18"/>
              </w:rPr>
              <w:t>(a) в силу владения акциями (долями) в уставном капитале данного или любого иного юридического лица или осуществления прав на участие в голосовании в отношении данного или любого иного юридического лица; или</w:t>
            </w:r>
          </w:p>
          <w:p>
            <w:pPr>
              <w:pStyle w:val="Style24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sz w:val="18"/>
                <w:szCs w:val="18"/>
              </w:rPr>
            </w:r>
          </w:p>
          <w:p>
            <w:pPr>
              <w:pStyle w:val="Style24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18"/>
                <w:szCs w:val="18"/>
              </w:rPr>
              <w:t>(б) в силу любых полномочий, предоставленных учредительными, внутренними или нормативными документами, регулирующими деятельность данного или любого иного юридического лица, или любыми иными документами.</w:t>
            </w:r>
          </w:p>
          <w:p>
            <w:pPr>
              <w:pStyle w:val="Style24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1.3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>«Публичные органы»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 - (а)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 и законодательством субъектов Российской Федерации, в том числе законодательные, судебные и исполнительные (в том числе, правоохранительные  органы, Вооруженные Силы Российской Федерации, другие войска, воинские формирования и органы); (б) избираемые непосредственно населением и (или) образуемые представительным и/или исполнительным органом муниципального образования  органы, наделенные собственными полномочиями по решению вопросов местного значения; (в) органы государственной власти иностранного государства, образуемые и признаваемые таковыми в соответствии с законодательством иностранного государства, в том числе, но не ограничиваясь этим, законодательные, исполнительные, судебные и иные органы, а также политические партии  и общественные организации; (г)  международные публичные организации; (д) политические партии  и общественные организации е) некоммерческие  организации с участием лица, связанного с государством.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1.4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 xml:space="preserve">  «Публичное должностное лицо» 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- лицо, избранное в представительный орган любого уровня, судья, лицо, постоянно, временно или по специальному полномочию, выполняющее организационно-распорядительные и административно-хозяйственные функции в любом Публичном органе, а также кандидаты на должность  публичного должностного лица. </w:t>
            </w:r>
          </w:p>
          <w:p>
            <w:pPr>
              <w:pStyle w:val="Footnotetext"/>
              <w:ind w:hanging="0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Организационно-распорядительные функции включают в себя, например, руководство коллективом, расстановку и подбор кадров, организацию труда или службы подчиненных, поддержание дисциплины, применение мер поощрения и наложение дисциплинарных взысканий.</w:t>
            </w:r>
          </w:p>
          <w:p>
            <w:pPr>
              <w:pStyle w:val="Footnotetext"/>
              <w:ind w:hanging="0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К административно-хозяйственным функциям могут быть, в частности, отнесены полномочия по управлению и распоряжению имуществом и денежными средствами, находящимися на балансе и банковских счетах организаций и учреждений, воинских частей и подразделений,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ценностей, определение порядка их хранения и т.п.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>1.5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sz w:val="18"/>
                <w:szCs w:val="18"/>
              </w:rPr>
              <w:t xml:space="preserve"> «Международная публичная организация»</w:t>
            </w:r>
            <w:r>
              <w:rPr>
                <w:rFonts w:cs="Calibri" w:ascii="Calibri" w:hAnsi="Calibri" w:asciiTheme="minorHAnsi" w:cstheme="minorHAnsi" w:hAnsiTheme="minorHAnsi"/>
                <w:bCs/>
                <w:color w:val="000000"/>
                <w:sz w:val="18"/>
                <w:szCs w:val="18"/>
              </w:rPr>
              <w:t xml:space="preserve"> - объединение, созданное на основе совместной деятельности для защиты общих интересов и достижения уставных целей в гражданских, политических, культурных, социальных и экономических сферах, членами которых являются субъекты из разных стран.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Если да, необходимо указать ФИО таких работников компании, соответствующие органы власти, политические партии или организации и т.п.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33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Примерная среднегодовая численность персонала 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Имеет ли компания необходимые лицензии или членство в саморегулируемых организациях (СРО) (если применимо в соответствии с законодательством)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61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Планирует ли Ваша компания перепродавать продукцию АО «КИП «Мастер» (услуги АО «КИП «Мастер») ?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Планируется ли для осуществления перепродажи продукции АО «КИП «Мастер» (услуг ОО «КИП «Мастер») привлекать посредников/агентов?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В случае утвердительного ответа на вопрос 26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Предоставьте, пожалуйста, краткие пояснения необходимости привлекать субподрядчиков и посредников.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Укажите, пожалуйста, являются ли третьи лица, приведенные выше (производители/посредники/субподрядчики/компании, которым будет перепродаваться продукция ОАО «КИП «Мастер», лицами, связанными с государством или публичными органами, либо публичными должностными лицами, как в п.23?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Являются ли контрагенты, которым вы планируете перепродавать продукцию АО «КИП «Мастер» (услуги АО «КИП «Мастер»), конечными покупателями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С целью соблюдения норм деловой этики и антикоррупционных требований, есть ли в вашей компании:</w:t>
            </w:r>
          </w:p>
          <w:p>
            <w:pPr>
              <w:pStyle w:val="ListParagraph"/>
              <w:numPr>
                <w:ilvl w:val="0"/>
                <w:numId w:val="1"/>
              </w:numPr>
              <w:ind w:left="0" w:firstLine="177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Кодекс поведения или кодекс этики или другой аналогичный документ;</w:t>
            </w:r>
          </w:p>
          <w:p>
            <w:pPr>
              <w:pStyle w:val="ListParagraph"/>
              <w:numPr>
                <w:ilvl w:val="0"/>
                <w:numId w:val="1"/>
              </w:numPr>
              <w:ind w:left="0" w:firstLine="177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>
            <w:pPr>
              <w:pStyle w:val="ListParagraph"/>
              <w:numPr>
                <w:ilvl w:val="0"/>
                <w:numId w:val="1"/>
              </w:numPr>
              <w:ind w:left="0" w:firstLine="177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>
            <w:pPr>
              <w:pStyle w:val="ListParagraph"/>
              <w:numPr>
                <w:ilvl w:val="0"/>
                <w:numId w:val="1"/>
              </w:numPr>
              <w:ind w:left="0" w:firstLine="177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>
            <w:pPr>
              <w:pStyle w:val="ListParagraph"/>
              <w:numPr>
                <w:ilvl w:val="0"/>
                <w:numId w:val="1"/>
              </w:numPr>
              <w:ind w:left="0" w:firstLine="177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>
            <w:pPr>
              <w:pStyle w:val="ListParagraph"/>
              <w:numPr>
                <w:ilvl w:val="0"/>
                <w:numId w:val="1"/>
              </w:numPr>
              <w:ind w:left="0" w:firstLine="177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07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Были ли случаи привлечения  кого-либо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45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>
            <w:pPr>
              <w:pStyle w:val="Normal"/>
              <w:keepNext/>
              <w:keepLines/>
              <w:widowControl w:val="false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ФИО и должности контактного лица;</w:t>
            </w:r>
          </w:p>
          <w:p>
            <w:pPr>
              <w:pStyle w:val="Normal"/>
              <w:keepNext/>
              <w:keepLines/>
              <w:widowControl w:val="false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Полного наименования организации;</w:t>
            </w:r>
          </w:p>
          <w:p>
            <w:pPr>
              <w:pStyle w:val="Normal"/>
              <w:keepNext/>
              <w:keepLines/>
              <w:widowControl w:val="false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Вида взаимоотношений (например, поставщик, клиент, консультант и т.п.);</w:t>
            </w:r>
          </w:p>
          <w:p>
            <w:pPr>
              <w:pStyle w:val="Normal"/>
              <w:keepNext/>
              <w:keepLines/>
              <w:widowControl w:val="false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0" w:hanging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Адреса/Факса/Телефона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445" w:hRule="atLeast"/>
        </w:trPr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7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0" w:leader="none"/>
              </w:tabs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Доля сделок с ООО «СКИП «Мастер»» (с учетом планируемого договора)</w:t>
            </w:r>
          </w:p>
        </w:tc>
        <w:tc>
          <w:tcPr>
            <w:tcW w:w="6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>
          <w:trHeight w:val="525" w:hRule="atLeast"/>
        </w:trPr>
        <w:tc>
          <w:tcPr>
            <w:tcW w:w="1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i/>
                <w:color w:val="000000"/>
                <w:sz w:val="18"/>
                <w:szCs w:val="18"/>
              </w:rPr>
            </w:r>
          </w:p>
          <w:tbl>
            <w:tblPr>
              <w:tblW w:w="4950" w:type="pct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704"/>
              <w:gridCol w:w="1547"/>
              <w:gridCol w:w="1124"/>
              <w:gridCol w:w="1684"/>
              <w:gridCol w:w="1968"/>
              <w:gridCol w:w="2389"/>
              <w:gridCol w:w="2108"/>
              <w:gridCol w:w="3094"/>
            </w:tblGrid>
            <w:tr>
              <w:trPr>
                <w:trHeight w:val="345" w:hRule="atLeast"/>
              </w:trPr>
              <w:tc>
                <w:tcPr>
                  <w:tcW w:w="14618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iCs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 xml:space="preserve">32. Информация в отношении всей </w:t>
                  </w:r>
                  <w:r>
                    <w:rPr>
                      <w:rFonts w:cs="Calibri" w:ascii="Calibri" w:hAnsi="Calibri" w:asciiTheme="minorHAnsi" w:cstheme="minorHAnsi" w:hAnsiTheme="minorHAnsi"/>
                      <w:bCs/>
                      <w:color w:val="000000"/>
                      <w:sz w:val="18"/>
                      <w:szCs w:val="18"/>
                    </w:rPr>
                    <w:t>цепочки собственников,</w:t>
                  </w: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 xml:space="preserve"> включая конечных </w:t>
                  </w:r>
                  <w:r>
                    <w:rPr>
                      <w:rFonts w:cs="Calibri" w:ascii="Calibri" w:hAnsi="Calibri" w:asciiTheme="minorHAnsi" w:cstheme="minorHAnsi" w:hAnsiTheme="minorHAnsi"/>
                      <w:bCs/>
                      <w:color w:val="000000"/>
                      <w:sz w:val="18"/>
                      <w:szCs w:val="18"/>
                    </w:rPr>
                    <w:t>бенефициаров</w:t>
                  </w: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      </w:r>
                </w:p>
              </w:tc>
            </w:tr>
            <w:tr>
              <w:trPr>
                <w:trHeight w:val="932" w:hRule="atLeast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№</w:t>
                  </w: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Доля в УК (СК),</w:t>
                  </w:r>
                </w:p>
                <w:p>
                  <w:pPr>
                    <w:pStyle w:val="Normal"/>
                    <w:jc w:val="center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% голосующих акций</w:t>
                  </w:r>
                </w:p>
                <w:p>
                  <w:pPr>
                    <w:pStyle w:val="Normal"/>
                    <w:jc w:val="center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(5% и более)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jc w:val="center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1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jc w:val="center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ФИО/ Наименование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jc w:val="center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 xml:space="preserve">Адрес регистрации </w:t>
                  </w:r>
                </w:p>
              </w:tc>
              <w:tc>
                <w:tcPr>
                  <w:tcW w:w="2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jc w:val="center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Серия и номер документа, удостоверяющего личность (для физического лица)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jc w:val="center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Руководитель, участник, акционер, иной бенефициар, владеющий 5% и более</w:t>
                  </w:r>
                </w:p>
              </w:tc>
              <w:tc>
                <w:tcPr>
                  <w:tcW w:w="3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jc w:val="center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ascii="Calibri" w:hAnsi="Calibri" w:asciiTheme="minorHAnsi" w:cstheme="minorHAnsi" w:hAnsiTheme="minorHAnsi"/>
                      <w:color w:val="000000"/>
                      <w:sz w:val="18"/>
                      <w:szCs w:val="18"/>
                    </w:rPr>
                    <w:t>Информация о подтверждающих документах (наименование, реквизиты и т.д.)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2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21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3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2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21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3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2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21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3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Calibri" w:hAnsi="Calibri" w:cs="Calibri" w:asciiTheme="minorHAnsi" w:cstheme="minorHAnsi" w:hAnsi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6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19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23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21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  <w:tc>
                <w:tcPr>
                  <w:tcW w:w="3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tabs>
                      <w:tab w:val="left" w:pos="360" w:leader="none"/>
                    </w:tabs>
                    <w:rPr>
                      <w:rFonts w:ascii="Calibri" w:hAnsi="Calibri" w:cs="Calibri" w:asciiTheme="minorHAnsi" w:cstheme="minorHAnsi" w:hAnsiTheme="minorHAnsi"/>
                      <w:i/>
                      <w:i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 w:cstheme="minorHAnsi" w:ascii="Calibri" w:hAnsi="Calibri"/>
                      <w:i/>
                      <w:color w:val="000000"/>
                      <w:sz w:val="18"/>
                      <w:szCs w:val="18"/>
                      <w:lang w:eastAsia="en-US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360" w:leader="none"/>
              </w:tabs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/>
                <w:sz w:val="18"/>
                <w:szCs w:val="18"/>
              </w:rPr>
              <w:t>Разъяснения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/>
                <w:sz w:val="18"/>
                <w:szCs w:val="18"/>
              </w:rPr>
              <w:t>о предоставлении</w:t>
            </w: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/>
                <w:i/>
                <w:color w:val="000000"/>
                <w:sz w:val="18"/>
                <w:szCs w:val="18"/>
              </w:rPr>
              <w:t>информации по всей цепочке собственников контрагентов, включая конечных бенефициаров (владеющих 5% и более) (вплоть до физических лиц).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1. Для организационной формы ООО необходимо указать всех участников с долей в уставном капитале более 5%.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В случае если участниками ООО являются другие юридические лица (ООО, ЗАО, ОАО), необходимо также предоставить информацию о руководителях таких юридических лиц и всех их бенефициарах (владеющих 5% и более) вплоть до физических лиц, либо государственных/муниципальных органов.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2. Для организационных форм ЗАО  и ОАО необходимо указать всех акционеров с долей голосующих акций более 5%.</w:t>
            </w:r>
          </w:p>
          <w:p>
            <w:pPr>
              <w:pStyle w:val="Normal"/>
              <w:tabs>
                <w:tab w:val="left" w:pos="360" w:leader="none"/>
              </w:tabs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В случае если участниками ЗАО или ОАО являются другие юридические лица (ООО, ЗАО, ОАО), 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органов.</w:t>
            </w:r>
          </w:p>
        </w:tc>
      </w:tr>
    </w:tbl>
    <w:p>
      <w:pPr>
        <w:pStyle w:val="Normal"/>
        <w:tabs>
          <w:tab w:val="left" w:pos="360" w:leader="none"/>
        </w:tabs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tabs>
          <w:tab w:val="left" w:pos="360" w:leader="none"/>
        </w:tabs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"/>
        <w:tabs>
          <w:tab w:val="left" w:pos="360" w:leader="none"/>
        </w:tabs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1. Вся информация, изложенная в ответах в настоящей Анкете, является достоверной и полной;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2.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Извещен о статусе настоящей анкеты как неотъемлемого приложения к договору аренды в случае его заключения;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3. Согласие физических лиц на обработку в АО «КИП «Мастер» их персональных данных, приведенных в настоящей анкете, получено;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 xml:space="preserve">4. Мне известно, что 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АО «КИП «Мастер»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ab/>
        <w:tab/>
        <w:tab/>
        <w:tab/>
        <w:tab/>
      </w:r>
    </w:p>
    <w:tbl>
      <w:tblPr>
        <w:tblW w:w="152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4"/>
        <w:gridCol w:w="5246"/>
        <w:gridCol w:w="5246"/>
      </w:tblGrid>
      <w:tr>
        <w:trPr/>
        <w:tc>
          <w:tcPr>
            <w:tcW w:w="4784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ab/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524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784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1049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784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524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784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10492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784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784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784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524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784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cstheme="minorHAnsi" w:ascii="Calibri" w:hAnsi="Calibri"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М.П.</w:t>
            </w:r>
          </w:p>
        </w:tc>
      </w:tr>
    </w:tbl>
    <w:p>
      <w:pPr>
        <w:sectPr>
          <w:type w:val="nextPage"/>
          <w:pgSz w:orient="landscape" w:w="16838" w:h="11906"/>
          <w:pgMar w:left="851" w:right="851" w:header="0" w:top="709" w:footer="0" w:bottom="709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center"/>
        <w:rPr>
          <w:rFonts w:ascii="Calibri" w:hAnsi="Calibri" w:cs="Arial" w:asciiTheme="minorHAnsi" w:hAnsiTheme="minorHAnsi"/>
          <w:i/>
          <w:i/>
          <w:sz w:val="20"/>
          <w:szCs w:val="20"/>
        </w:rPr>
      </w:pPr>
      <w:r>
        <w:rPr>
          <w:rFonts w:cs="Arial" w:ascii="Calibri" w:hAnsi="Calibri"/>
          <w:i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709" w:right="851" w:header="0" w:top="851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1080" w:hanging="360"/>
      </w:pPr>
      <w:rPr>
        <w:sz w:val="18"/>
        <w:spacing w:val="0"/>
        <w:rFonts w:ascii="Calibri" w:hAnsi="Calibri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sz w:val="18"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f19e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a52cbf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Normal"/>
    <w:link w:val="20"/>
    <w:uiPriority w:val="9"/>
    <w:qFormat/>
    <w:rsid w:val="00cb48a9"/>
    <w:pPr>
      <w:keepNext/>
      <w:spacing w:before="240" w:after="60"/>
      <w:outlineLvl w:val="1"/>
    </w:pPr>
    <w:rPr>
      <w:rFonts w:ascii="Calibri" w:hAnsi="Calibri" w:eastAsia="MS Gothic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unhideWhenUsed/>
    <w:qFormat/>
    <w:rsid w:val="00a52cbf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52cb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b48a9"/>
    <w:rPr>
      <w:rFonts w:ascii="Calibri" w:hAnsi="Calibri" w:eastAsia="MS Gothic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a52cb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Style11" w:customStyle="1">
    <w:name w:val="Основной текст Знак"/>
    <w:basedOn w:val="DefaultParagraphFont"/>
    <w:link w:val="a3"/>
    <w:qFormat/>
    <w:rsid w:val="000f19ee"/>
    <w:rPr>
      <w:rFonts w:ascii="Arial" w:hAnsi="Arial"/>
      <w:color w:val="000000"/>
      <w:sz w:val="22"/>
    </w:rPr>
  </w:style>
  <w:style w:type="character" w:styleId="Applestylespan" w:customStyle="1">
    <w:name w:val="apple-style-span"/>
    <w:basedOn w:val="DefaultParagraphFont"/>
    <w:qFormat/>
    <w:rsid w:val="00d423c0"/>
    <w:rPr/>
  </w:style>
  <w:style w:type="character" w:styleId="Appleconvertedspace" w:customStyle="1">
    <w:name w:val="apple-converted-space"/>
    <w:basedOn w:val="DefaultParagraphFont"/>
    <w:qFormat/>
    <w:rsid w:val="00d423c0"/>
    <w:rPr/>
  </w:style>
  <w:style w:type="character" w:styleId="Style12" w:customStyle="1">
    <w:name w:val="Текст выноски Знак"/>
    <w:basedOn w:val="DefaultParagraphFont"/>
    <w:link w:val="a6"/>
    <w:qFormat/>
    <w:rsid w:val="00a81b49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493d00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493d00"/>
    <w:rPr>
      <w:sz w:val="24"/>
      <w:szCs w:val="24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a52cbf"/>
    <w:rPr>
      <w:sz w:val="24"/>
      <w:szCs w:val="24"/>
    </w:rPr>
  </w:style>
  <w:style w:type="character" w:styleId="Style15" w:customStyle="1">
    <w:name w:val="Текст сноски Знак"/>
    <w:basedOn w:val="DefaultParagraphFont"/>
    <w:link w:val="ac"/>
    <w:uiPriority w:val="99"/>
    <w:qFormat/>
    <w:rsid w:val="00a52cbf"/>
    <w:rPr>
      <w:rFonts w:eastAsia="Calibri"/>
    </w:rPr>
  </w:style>
  <w:style w:type="character" w:styleId="12" w:customStyle="1">
    <w:name w:val="Основной текст Знак1"/>
    <w:qFormat/>
    <w:rsid w:val="008468ac"/>
    <w:rPr>
      <w:rFonts w:ascii="Arial" w:hAnsi="Arial"/>
      <w:color w:val="000000"/>
      <w:sz w:val="22"/>
      <w:lang w:val="ru-RU" w:eastAsia="ru-RU" w:bidi="ar-SA"/>
    </w:rPr>
  </w:style>
  <w:style w:type="character" w:styleId="32" w:customStyle="1">
    <w:name w:val="Знак Знак3"/>
    <w:qFormat/>
    <w:rsid w:val="003e254a"/>
    <w:rPr>
      <w:rFonts w:ascii="Arial" w:hAnsi="Arial"/>
      <w:color w:val="000000"/>
      <w:sz w:val="22"/>
      <w:lang w:val="ru-RU" w:eastAsia="ru-RU" w:bidi="ar-SA"/>
    </w:rPr>
  </w:style>
  <w:style w:type="character" w:styleId="Style16" w:customStyle="1">
    <w:name w:val="Название Знак"/>
    <w:basedOn w:val="DefaultParagraphFont"/>
    <w:link w:val="af"/>
    <w:qFormat/>
    <w:rsid w:val="00c009f2"/>
    <w:rPr>
      <w:rFonts w:eastAsia="SimSun"/>
      <w:b/>
      <w:bCs/>
      <w:sz w:val="24"/>
      <w:szCs w:val="24"/>
    </w:rPr>
  </w:style>
  <w:style w:type="character" w:styleId="33" w:customStyle="1">
    <w:name w:val="Основной текст 3 Знак"/>
    <w:basedOn w:val="DefaultParagraphFont"/>
    <w:link w:val="32"/>
    <w:qFormat/>
    <w:rsid w:val="00c009f2"/>
    <w:rPr>
      <w:rFonts w:eastAsia="SimSun"/>
      <w:b/>
      <w:bCs/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f1"/>
    <w:qFormat/>
    <w:rsid w:val="00c009f2"/>
    <w:rPr>
      <w:rFonts w:eastAsia="SimSun"/>
      <w:sz w:val="24"/>
      <w:szCs w:val="24"/>
    </w:rPr>
  </w:style>
  <w:style w:type="character" w:styleId="Pagenumber">
    <w:name w:val="page number"/>
    <w:basedOn w:val="DefaultParagraphFont"/>
    <w:qFormat/>
    <w:rsid w:val="00c009f2"/>
    <w:rPr/>
  </w:style>
  <w:style w:type="character" w:styleId="Style18" w:customStyle="1">
    <w:name w:val="Знак Знак"/>
    <w:qFormat/>
    <w:rsid w:val="00c009f2"/>
    <w:rPr>
      <w:rFonts w:ascii="Arial" w:hAnsi="Arial"/>
      <w:color w:val="000000"/>
      <w:sz w:val="22"/>
      <w:lang w:val="ru-RU" w:eastAsia="ru-RU" w:bidi="ar-SA"/>
    </w:rPr>
  </w:style>
  <w:style w:type="character" w:styleId="Style19">
    <w:name w:val="Интернет-ссылка"/>
    <w:rsid w:val="00c009f2"/>
    <w:rPr>
      <w:color w:val="0000FF"/>
      <w:u w:val="single"/>
    </w:rPr>
  </w:style>
  <w:style w:type="character" w:styleId="Annotationreference">
    <w:name w:val="annotation reference"/>
    <w:qFormat/>
    <w:rsid w:val="00c009f2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7"/>
    <w:qFormat/>
    <w:rsid w:val="00c009f2"/>
    <w:rPr>
      <w:rFonts w:eastAsia="SimSun"/>
    </w:rPr>
  </w:style>
  <w:style w:type="character" w:styleId="Style21" w:customStyle="1">
    <w:name w:val="Тема примечания Знак"/>
    <w:basedOn w:val="Style20"/>
    <w:link w:val="af9"/>
    <w:qFormat/>
    <w:rsid w:val="00c009f2"/>
    <w:rPr>
      <w:rFonts w:eastAsia="SimSun"/>
      <w:b/>
      <w:bCs/>
    </w:rPr>
  </w:style>
  <w:style w:type="character" w:styleId="Footnotereference">
    <w:name w:val="footnote reference"/>
    <w:unhideWhenUsed/>
    <w:qFormat/>
    <w:rsid w:val="00c009f2"/>
    <w:rPr>
      <w:vertAlign w:val="superscript"/>
    </w:rPr>
  </w:style>
  <w:style w:type="character" w:styleId="Style22" w:customStyle="1">
    <w:name w:val="Основной текст_"/>
    <w:link w:val="23"/>
    <w:qFormat/>
    <w:rsid w:val="00f82ca1"/>
    <w:rPr>
      <w:sz w:val="24"/>
      <w:szCs w:val="24"/>
      <w:shd w:fill="FFFFFF" w:val="clear"/>
    </w:rPr>
  </w:style>
  <w:style w:type="character" w:styleId="23" w:customStyle="1">
    <w:name w:val="Основной текст (2)_"/>
    <w:link w:val="25"/>
    <w:qFormat/>
    <w:rsid w:val="00f82ca1"/>
    <w:rPr>
      <w:sz w:val="21"/>
      <w:szCs w:val="21"/>
      <w:shd w:fill="FFFFFF" w:val="clear"/>
    </w:rPr>
  </w:style>
  <w:style w:type="character" w:styleId="13" w:customStyle="1">
    <w:name w:val="Заголовок №1_"/>
    <w:link w:val="14"/>
    <w:qFormat/>
    <w:rsid w:val="00f82ca1"/>
    <w:rPr>
      <w:rFonts w:ascii="Arial" w:hAnsi="Arial" w:eastAsia="Arial" w:cs="Arial"/>
      <w:sz w:val="28"/>
      <w:szCs w:val="28"/>
      <w:shd w:fill="FFFFFF" w:val="clear"/>
    </w:rPr>
  </w:style>
  <w:style w:type="character" w:styleId="34" w:customStyle="1">
    <w:name w:val="Основной текст (3)_"/>
    <w:link w:val="35"/>
    <w:qFormat/>
    <w:rsid w:val="00f82ca1"/>
    <w:rPr>
      <w:rFonts w:ascii="Arial" w:hAnsi="Arial" w:eastAsia="Arial" w:cs="Arial"/>
      <w:sz w:val="16"/>
      <w:szCs w:val="16"/>
      <w:shd w:fill="FFFFFF" w:val="clear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color w:val="00000A"/>
      <w:spacing w:val="0"/>
      <w:sz w:val="18"/>
    </w:rPr>
  </w:style>
  <w:style w:type="character" w:styleId="ListLabel7">
    <w:name w:val="ListLabel 7"/>
    <w:qFormat/>
    <w:rPr>
      <w:rFonts w:cs="Times New Roman"/>
      <w:sz w:val="18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">
    <w:name w:val="ListLabel 9"/>
    <w:qFormat/>
    <w:rPr>
      <w:rFonts w:ascii="Calibri" w:hAnsi="Calibri"/>
      <w:color w:val="00000A"/>
      <w:spacing w:val="0"/>
      <w:sz w:val="18"/>
    </w:rPr>
  </w:style>
  <w:style w:type="character" w:styleId="ListLabel10">
    <w:name w:val="ListLabel 10"/>
    <w:qFormat/>
    <w:rPr>
      <w:rFonts w:ascii="Calibri" w:hAnsi="Calibri" w:cs="Times New Roman"/>
      <w:sz w:val="18"/>
    </w:rPr>
  </w:style>
  <w:style w:type="paragraph" w:styleId="Style23">
    <w:name w:val="Заголовок"/>
    <w:basedOn w:val="Normal"/>
    <w:next w:val="Style2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Основной текст"/>
    <w:basedOn w:val="Normal"/>
    <w:link w:val="a4"/>
    <w:rsid w:val="000f19ee"/>
    <w:pPr>
      <w:widowControl w:val="false"/>
      <w:spacing w:lineRule="auto" w:line="276" w:before="0" w:after="200"/>
      <w:jc w:val="both"/>
    </w:pPr>
    <w:rPr>
      <w:rFonts w:ascii="Arial" w:hAnsi="Arial"/>
      <w:color w:val="000000"/>
      <w:sz w:val="22"/>
    </w:rPr>
  </w:style>
  <w:style w:type="paragraph" w:styleId="Style25">
    <w:name w:val="Список"/>
    <w:basedOn w:val="Style24"/>
    <w:pPr/>
    <w:rPr>
      <w:rFonts w:cs="Mangal"/>
    </w:rPr>
  </w:style>
  <w:style w:type="paragraph" w:styleId="Style2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4" w:customStyle="1">
    <w:name w:val="Абзац списка1"/>
    <w:basedOn w:val="Normal"/>
    <w:qFormat/>
    <w:rsid w:val="000f19ee"/>
    <w:pPr>
      <w:spacing w:lineRule="auto" w:line="276" w:before="0" w:after="200"/>
      <w:ind w:left="708" w:hanging="0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d950e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qFormat/>
    <w:rsid w:val="00a81b49"/>
    <w:pPr/>
    <w:rPr>
      <w:rFonts w:ascii="Tahoma" w:hAnsi="Tahoma" w:cs="Tahoma"/>
      <w:sz w:val="16"/>
      <w:szCs w:val="16"/>
    </w:rPr>
  </w:style>
  <w:style w:type="paragraph" w:styleId="Style28">
    <w:name w:val="Верхний колонтитул"/>
    <w:basedOn w:val="Normal"/>
    <w:link w:val="a9"/>
    <w:uiPriority w:val="99"/>
    <w:rsid w:val="00493d00"/>
    <w:pPr>
      <w:tabs>
        <w:tab w:val="center" w:pos="4677" w:leader="none"/>
        <w:tab w:val="right" w:pos="9355" w:leader="none"/>
      </w:tabs>
    </w:pPr>
    <w:rPr/>
  </w:style>
  <w:style w:type="paragraph" w:styleId="Style29">
    <w:name w:val="Нижний колонтитул"/>
    <w:basedOn w:val="Normal"/>
    <w:link w:val="ab"/>
    <w:uiPriority w:val="99"/>
    <w:rsid w:val="00493d00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2"/>
    <w:uiPriority w:val="99"/>
    <w:qFormat/>
    <w:rsid w:val="00a52cbf"/>
    <w:pPr>
      <w:spacing w:lineRule="auto" w:line="480" w:before="0" w:after="120"/>
    </w:pPr>
    <w:rPr/>
  </w:style>
  <w:style w:type="paragraph" w:styleId="Footnotetext">
    <w:name w:val="footnote text"/>
    <w:basedOn w:val="Normal"/>
    <w:link w:val="ad"/>
    <w:uiPriority w:val="99"/>
    <w:unhideWhenUsed/>
    <w:qFormat/>
    <w:rsid w:val="00a52cbf"/>
    <w:pPr>
      <w:ind w:firstLine="709"/>
      <w:jc w:val="both"/>
    </w:pPr>
    <w:rPr>
      <w:rFonts w:eastAsia="Calibri"/>
      <w:sz w:val="20"/>
      <w:szCs w:val="20"/>
    </w:rPr>
  </w:style>
  <w:style w:type="paragraph" w:styleId="Style30">
    <w:name w:val="Заглавие"/>
    <w:basedOn w:val="Normal"/>
    <w:link w:val="af0"/>
    <w:qFormat/>
    <w:rsid w:val="00c009f2"/>
    <w:pPr>
      <w:jc w:val="center"/>
    </w:pPr>
    <w:rPr>
      <w:rFonts w:eastAsia="SimSun"/>
      <w:b/>
      <w:bCs/>
    </w:rPr>
  </w:style>
  <w:style w:type="paragraph" w:styleId="BodyText3">
    <w:name w:val="Body Text 3"/>
    <w:basedOn w:val="Normal"/>
    <w:link w:val="33"/>
    <w:qFormat/>
    <w:rsid w:val="00c009f2"/>
    <w:pPr/>
    <w:rPr>
      <w:rFonts w:eastAsia="SimSun"/>
      <w:b/>
      <w:bCs/>
    </w:rPr>
  </w:style>
  <w:style w:type="paragraph" w:styleId="Style31">
    <w:name w:val="Основной текст с отступом"/>
    <w:basedOn w:val="Normal"/>
    <w:link w:val="af2"/>
    <w:rsid w:val="00c009f2"/>
    <w:pPr>
      <w:spacing w:before="0" w:after="120"/>
      <w:ind w:left="283" w:hanging="0"/>
    </w:pPr>
    <w:rPr>
      <w:rFonts w:eastAsia="SimSun"/>
    </w:rPr>
  </w:style>
  <w:style w:type="paragraph" w:styleId="ConsNormal" w:customStyle="1">
    <w:name w:val="ConsNormal"/>
    <w:qFormat/>
    <w:rsid w:val="00c009f2"/>
    <w:pPr>
      <w:widowControl/>
      <w:bidi w:val="0"/>
      <w:ind w:right="19772" w:firstLine="720"/>
      <w:jc w:val="left"/>
    </w:pPr>
    <w:rPr>
      <w:rFonts w:ascii="Arial" w:hAnsi="Arial" w:eastAsia="SimSun" w:cs="Arial"/>
      <w:color w:val="00000A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f8"/>
    <w:qFormat/>
    <w:rsid w:val="00c009f2"/>
    <w:pPr/>
    <w:rPr>
      <w:rFonts w:eastAsia="SimSun"/>
      <w:sz w:val="20"/>
      <w:szCs w:val="20"/>
    </w:rPr>
  </w:style>
  <w:style w:type="paragraph" w:styleId="Annotationsubject">
    <w:name w:val="annotation subject"/>
    <w:basedOn w:val="Annotationtext"/>
    <w:link w:val="afa"/>
    <w:qFormat/>
    <w:rsid w:val="00c009f2"/>
    <w:pPr/>
    <w:rPr>
      <w:b/>
      <w:bCs/>
    </w:rPr>
  </w:style>
  <w:style w:type="paragraph" w:styleId="Revision">
    <w:name w:val="Revision"/>
    <w:uiPriority w:val="99"/>
    <w:semiHidden/>
    <w:qFormat/>
    <w:rsid w:val="00064f0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4" w:customStyle="1">
    <w:name w:val="Основной текст2"/>
    <w:basedOn w:val="Normal"/>
    <w:link w:val="afd"/>
    <w:qFormat/>
    <w:rsid w:val="00f82ca1"/>
    <w:pPr>
      <w:shd w:val="clear" w:color="auto" w:fill="FFFFFF"/>
      <w:spacing w:lineRule="auto" w:line="240" w:before="300" w:after="300"/>
    </w:pPr>
    <w:rPr/>
  </w:style>
  <w:style w:type="paragraph" w:styleId="25" w:customStyle="1">
    <w:name w:val="Основной текст (2)"/>
    <w:basedOn w:val="Normal"/>
    <w:link w:val="24"/>
    <w:qFormat/>
    <w:rsid w:val="00f82ca1"/>
    <w:pPr>
      <w:shd w:val="clear" w:color="auto" w:fill="FFFFFF"/>
      <w:spacing w:lineRule="auto" w:line="240" w:before="0" w:after="540"/>
    </w:pPr>
    <w:rPr>
      <w:sz w:val="21"/>
      <w:szCs w:val="21"/>
    </w:rPr>
  </w:style>
  <w:style w:type="paragraph" w:styleId="15" w:customStyle="1">
    <w:name w:val="Заголовок №1"/>
    <w:basedOn w:val="Normal"/>
    <w:link w:val="13"/>
    <w:qFormat/>
    <w:rsid w:val="00f82ca1"/>
    <w:pPr>
      <w:shd w:val="clear" w:color="auto" w:fill="FFFFFF"/>
      <w:spacing w:lineRule="auto" w:line="240" w:before="540" w:after="300"/>
      <w:outlineLvl w:val="0"/>
    </w:pPr>
    <w:rPr>
      <w:rFonts w:ascii="Arial" w:hAnsi="Arial" w:eastAsia="Arial" w:cs="Arial"/>
      <w:sz w:val="28"/>
      <w:szCs w:val="28"/>
    </w:rPr>
  </w:style>
  <w:style w:type="paragraph" w:styleId="35" w:customStyle="1">
    <w:name w:val="Основной текст (3)"/>
    <w:basedOn w:val="Normal"/>
    <w:link w:val="34"/>
    <w:qFormat/>
    <w:rsid w:val="00f82ca1"/>
    <w:pPr>
      <w:shd w:val="clear" w:color="auto" w:fill="FFFFFF"/>
      <w:spacing w:lineRule="auto" w:line="240" w:before="300" w:after="540"/>
    </w:pPr>
    <w:rPr>
      <w:rFonts w:ascii="Arial" w:hAnsi="Arial" w:eastAsia="Arial" w:cs="Arial"/>
      <w:sz w:val="16"/>
      <w:szCs w:val="16"/>
    </w:rPr>
  </w:style>
  <w:style w:type="paragraph" w:styleId="Style32" w:customStyle="1">
    <w:name w:val="Текст основ"/>
    <w:basedOn w:val="Normal"/>
    <w:qFormat/>
    <w:rsid w:val="00f82ca1"/>
    <w:pPr>
      <w:tabs>
        <w:tab w:val="left" w:pos="1191" w:leader="none"/>
        <w:tab w:val="left" w:pos="1304" w:leader="none"/>
        <w:tab w:val="left" w:pos="1588" w:leader="none"/>
        <w:tab w:val="left" w:pos="1814" w:leader="none"/>
        <w:tab w:val="left" w:pos="2098" w:leader="none"/>
      </w:tabs>
      <w:overflowPunct w:val="false"/>
      <w:ind w:firstLine="737"/>
      <w:jc w:val="both"/>
      <w:textAlignment w:val="baseline"/>
    </w:pPr>
    <w:rPr>
      <w:sz w:val="2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519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F6F3-C2B8-4067-B4BB-11131339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Application>LibreOffice/5.0.4.2$Windows_x86 LibreOffice_project/2b9802c1994aa0b7dc6079e128979269cf95bc78</Application>
  <Paragraphs>121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2014-05-26T12:07:00Z</dcterms:created>
  <dc:creator>nurlygayanov</dc:creator>
  <dc:description>This document was created by docXConverter</dc:description>
  <dc:language>ru-RU</dc:language>
  <cp:lastPrinted>2014-09-12T05:33:00Z</cp:lastPrinted>
  <dcterms:modified xsi:type="dcterms:W3CDTF">2016-02-20T09:39:26Z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